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239E56CB" w:rsidR="008B559B" w:rsidRPr="008D187E" w:rsidRDefault="00E04AF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შპს</w:t>
      </w:r>
      <w:r w:rsidR="008B559B" w:rsidRPr="008D187E">
        <w:rPr>
          <w:rFonts w:ascii="Sylfaen" w:hAnsi="Sylfaen" w:cs="Sylfaen"/>
          <w:sz w:val="20"/>
          <w:lang w:val="ka-GE"/>
        </w:rPr>
        <w:t xml:space="preserve"> „</w:t>
      </w:r>
      <w:r>
        <w:rPr>
          <w:rFonts w:ascii="Sylfaen" w:hAnsi="Sylfaen" w:cs="Sylfaen"/>
          <w:sz w:val="20"/>
          <w:lang w:val="ka-GE"/>
        </w:rPr>
        <w:t>რეგიონული ჰოსპიტალი</w:t>
      </w:r>
      <w:r w:rsidR="008B559B"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7B45C5">
        <w:rPr>
          <w:rFonts w:ascii="Sylfaen" w:hAnsi="Sylfaen" w:cs="Sylfaen"/>
          <w:sz w:val="20"/>
          <w:lang w:val="ka-GE"/>
        </w:rPr>
        <w:t>“</w:t>
      </w:r>
      <w:r>
        <w:rPr>
          <w:rFonts w:ascii="Sylfaen" w:hAnsi="Sylfaen" w:cs="Sylfaen"/>
          <w:sz w:val="20"/>
          <w:lang w:val="ka-GE"/>
        </w:rPr>
        <w:t>სარეკონსტრუქციო სამუშაოების შესრულება</w:t>
      </w:r>
      <w:r>
        <w:rPr>
          <w:rFonts w:ascii="Sylfaen" w:hAnsi="Sylfaen" w:cs="Sylfaen"/>
          <w:sz w:val="20"/>
          <w:lang w:val="en-US"/>
        </w:rPr>
        <w:t xml:space="preserve">” 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44FA663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E04AF8">
        <w:rPr>
          <w:rFonts w:ascii="Sylfaen" w:hAnsi="Sylfaen" w:cs="Sylfaen"/>
          <w:sz w:val="20"/>
          <w:lang w:val="ka-GE"/>
        </w:rPr>
        <w:t>შპს</w:t>
      </w:r>
      <w:r w:rsidR="00E04AF8" w:rsidRPr="008D187E">
        <w:rPr>
          <w:rFonts w:ascii="Sylfaen" w:hAnsi="Sylfaen" w:cs="Sylfaen"/>
          <w:sz w:val="20"/>
          <w:lang w:val="ka-GE"/>
        </w:rPr>
        <w:t xml:space="preserve"> </w:t>
      </w:r>
      <w:r w:rsidR="00E37384" w:rsidRPr="008D187E">
        <w:rPr>
          <w:rFonts w:ascii="Sylfaen" w:hAnsi="Sylfaen" w:cs="Sylfaen"/>
          <w:sz w:val="20"/>
          <w:lang w:val="ka-GE"/>
        </w:rPr>
        <w:t>„</w:t>
      </w:r>
      <w:r w:rsidR="00E04AF8">
        <w:rPr>
          <w:rFonts w:ascii="Sylfaen" w:hAnsi="Sylfaen" w:cs="Sylfaen"/>
          <w:sz w:val="20"/>
          <w:lang w:val="ka-GE"/>
        </w:rPr>
        <w:t>რეგიონული ჰოსპიტალი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ACFDC8E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E1083">
        <w:rPr>
          <w:rFonts w:ascii="Sylfaen" w:hAnsi="Sylfaen" w:cs="Sylfaen"/>
          <w:sz w:val="20"/>
          <w:lang w:val="en-US"/>
        </w:rPr>
        <w:t xml:space="preserve">11 </w:t>
      </w:r>
      <w:r w:rsidR="00BD49F1">
        <w:rPr>
          <w:rFonts w:ascii="Sylfaen" w:hAnsi="Sylfaen" w:cs="Sylfaen"/>
          <w:sz w:val="20"/>
          <w:lang w:val="ka-GE"/>
        </w:rPr>
        <w:t>ივნისის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EE68449" w:rsidR="001213AD" w:rsidRPr="00C63B85" w:rsidRDefault="00BD49F1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 ივნისი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F816F79" w:rsidR="001213AD" w:rsidRPr="00C63B85" w:rsidRDefault="00CE1083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11 </w:t>
            </w:r>
            <w:r w:rsidR="00BD49F1">
              <w:rPr>
                <w:rFonts w:ascii="Sylfaen" w:hAnsi="Sylfaen" w:cs="Sylfaen"/>
                <w:sz w:val="20"/>
                <w:lang w:val="ka-GE"/>
              </w:rPr>
              <w:t xml:space="preserve">ივნისი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4AC69E6B" w:rsidR="001213AD" w:rsidRPr="00C63B85" w:rsidRDefault="00F50825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17</w:t>
            </w:r>
            <w:r w:rsidR="00BD49F1">
              <w:rPr>
                <w:rFonts w:ascii="Sylfaen" w:hAnsi="Sylfaen" w:cs="Sylfaen"/>
                <w:sz w:val="20"/>
                <w:lang w:val="ka-GE"/>
              </w:rPr>
              <w:t xml:space="preserve"> ივნისი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9069D12" w:rsidR="001213AD" w:rsidRPr="00C63B85" w:rsidRDefault="00F50825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21</w:t>
            </w:r>
            <w:r w:rsidR="00BD49F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ი</w:t>
            </w:r>
            <w:r w:rsidR="00F406F1">
              <w:rPr>
                <w:rFonts w:ascii="Sylfaen" w:hAnsi="Sylfaen" w:cs="Sylfaen"/>
                <w:sz w:val="20"/>
                <w:lang w:val="ka-GE"/>
              </w:rPr>
              <w:t>ვნისი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785F9726" w14:textId="2467F5AD" w:rsidR="004B1D4B" w:rsidRPr="00F36D49" w:rsidRDefault="006B4E51" w:rsidP="00F36D49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2F032DAF" w14:textId="77777777" w:rsidR="004B1D4B" w:rsidRDefault="004B1D4B" w:rsidP="00F36D4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618C9C46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თბილისში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BD49F1">
        <w:rPr>
          <w:rFonts w:ascii="Sylfaen" w:hAnsi="Sylfaen" w:cs="Sylfaen"/>
          <w:sz w:val="20"/>
          <w:lang w:val="ka-GE"/>
        </w:rPr>
        <w:t>ქავთარაძის N23</w:t>
      </w:r>
      <w:r w:rsidR="00F36D49">
        <w:rPr>
          <w:rFonts w:ascii="Sylfaen" w:hAnsi="Sylfaen" w:cs="Sylfaen"/>
          <w:sz w:val="20"/>
          <w:lang w:val="ka-GE"/>
        </w:rPr>
        <w:t>-</w:t>
      </w:r>
      <w:r w:rsidR="00BD49F1">
        <w:rPr>
          <w:rFonts w:ascii="Sylfaen" w:hAnsi="Sylfaen" w:cs="Sylfaen"/>
          <w:sz w:val="20"/>
          <w:lang w:val="ka-GE"/>
        </w:rPr>
        <w:t xml:space="preserve">ში 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BD49F1">
        <w:rPr>
          <w:rFonts w:ascii="Sylfaen" w:hAnsi="Sylfaen" w:cs="Sylfaen"/>
          <w:sz w:val="20"/>
          <w:lang w:val="ka-GE"/>
        </w:rPr>
        <w:t xml:space="preserve"> რეგიონული ჰოსპიტლის </w:t>
      </w:r>
      <w:r w:rsidR="003372DA" w:rsidRPr="008D187E">
        <w:rPr>
          <w:rFonts w:ascii="Sylfaen" w:hAnsi="Sylfaen" w:cs="Sylfaen"/>
          <w:sz w:val="20"/>
          <w:lang w:val="ka-GE"/>
        </w:rPr>
        <w:t>სარეკონსტრუქციო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lastRenderedPageBreak/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6577895C" w14:textId="4A1D9F88" w:rsidR="00187D40" w:rsidRPr="00F36D49" w:rsidRDefault="001702D1" w:rsidP="00F36D49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BD49F1">
        <w:rPr>
          <w:rFonts w:ascii="Sylfaen" w:hAnsi="Sylfaen" w:cs="Sylfaen"/>
          <w:sz w:val="20"/>
          <w:lang w:val="ka-GE"/>
        </w:rPr>
        <w:t>680</w:t>
      </w:r>
      <w:r w:rsidR="004B1D4B" w:rsidRPr="007B45C5">
        <w:rPr>
          <w:rFonts w:ascii="Sylfaen" w:hAnsi="Sylfaen" w:cs="Sylfaen"/>
          <w:sz w:val="20"/>
          <w:lang w:val="en-US"/>
        </w:rPr>
        <w:t xml:space="preserve">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18290DF4" w14:textId="3724D2A4" w:rsidR="00187D40" w:rsidRPr="00F130B3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სამუშაოების დასრულების მაქსიმალურ ვადად განსაზღვრული</w:t>
      </w:r>
      <w:r w:rsidRPr="002E57B1">
        <w:rPr>
          <w:rFonts w:ascii="Sylfaen" w:hAnsi="Sylfaen" w:cs="Sylfaen"/>
          <w:sz w:val="20"/>
          <w:lang w:val="ka-GE"/>
        </w:rPr>
        <w:t xml:space="preserve">ა </w:t>
      </w:r>
      <w:r w:rsidR="00AA5773" w:rsidRPr="005C4AD7">
        <w:rPr>
          <w:rFonts w:ascii="Sylfaen" w:hAnsi="Sylfaen" w:cs="Sylfaen"/>
          <w:color w:val="000000" w:themeColor="text1"/>
          <w:sz w:val="20"/>
          <w:lang w:val="ka-GE"/>
        </w:rPr>
        <w:t xml:space="preserve">20 </w:t>
      </w:r>
      <w:r w:rsidRPr="005C4AD7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AA5773" w:rsidRPr="005C4AD7">
        <w:rPr>
          <w:rFonts w:ascii="Sylfaen" w:hAnsi="Sylfaen" w:cs="Sylfaen"/>
          <w:color w:val="000000" w:themeColor="text1"/>
          <w:sz w:val="20"/>
          <w:lang w:val="ka-GE"/>
        </w:rPr>
        <w:t>ოცი</w:t>
      </w:r>
      <w:r w:rsidRPr="005C4AD7">
        <w:rPr>
          <w:rFonts w:ascii="Sylfaen" w:hAnsi="Sylfaen" w:cs="Sylfaen"/>
          <w:color w:val="000000" w:themeColor="text1"/>
          <w:sz w:val="20"/>
          <w:lang w:val="ka-GE"/>
        </w:rPr>
        <w:t xml:space="preserve">) </w:t>
      </w:r>
      <w:r w:rsidRPr="00F130B3">
        <w:rPr>
          <w:rFonts w:ascii="Sylfaen" w:hAnsi="Sylfaen" w:cs="Sylfaen"/>
          <w:sz w:val="20"/>
          <w:lang w:val="ka-GE"/>
        </w:rPr>
        <w:t>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52128638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757DA6">
        <w:rPr>
          <w:rFonts w:ascii="Sylfaen" w:hAnsi="Sylfaen" w:cs="Sylfaen"/>
          <w:sz w:val="20"/>
          <w:lang w:val="ka-GE"/>
        </w:rPr>
        <w:t xml:space="preserve">19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ივნისი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დამთავრებული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სამუშაოების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  <w:r w:rsidRPr="008D187E">
        <w:rPr>
          <w:rFonts w:ascii="Times New Roman" w:hAnsi="Times New Roman"/>
          <w:sz w:val="20"/>
        </w:rPr>
        <w:t xml:space="preserve">, </w:t>
      </w:r>
      <w:r w:rsidRPr="008D187E">
        <w:rPr>
          <w:rFonts w:ascii="Sylfaen" w:hAnsi="Sylfaen" w:cs="Sylfaen"/>
          <w:sz w:val="20"/>
        </w:rPr>
        <w:t>აღრიცხვა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შესაბამისი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ანაზღაურების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307FB43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757DA6">
        <w:rPr>
          <w:rFonts w:ascii="Sylfaen" w:hAnsi="Sylfaen" w:cs="Sylfaen"/>
          <w:sz w:val="20"/>
          <w:lang w:val="en-US"/>
        </w:rPr>
        <w:t>11</w:t>
      </w:r>
      <w:bookmarkStart w:id="1" w:name="_GoBack"/>
      <w:bookmarkEnd w:id="1"/>
      <w:r w:rsidR="00F36D49">
        <w:rPr>
          <w:rFonts w:ascii="Sylfaen" w:hAnsi="Sylfaen" w:cs="Sylfaen"/>
          <w:sz w:val="20"/>
          <w:lang w:val="en-US"/>
        </w:rPr>
        <w:t xml:space="preserve"> </w:t>
      </w:r>
      <w:r w:rsidR="00F36D49">
        <w:rPr>
          <w:rFonts w:ascii="Sylfaen" w:hAnsi="Sylfaen" w:cs="Sylfaen"/>
          <w:sz w:val="20"/>
          <w:lang w:val="ka-GE"/>
        </w:rPr>
        <w:t>ივნისის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22D75FB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r w:rsidRPr="008D187E">
        <w:rPr>
          <w:rFonts w:ascii="Sylfaen" w:hAnsi="Sylfaen" w:cs="Sylfaen"/>
          <w:sz w:val="20"/>
        </w:rPr>
        <w:t>ვიზიტის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თარიღი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წინასწარ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შეთანხმდეს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2532EF">
        <w:rPr>
          <w:rFonts w:ascii="Sylfaen" w:hAnsi="Sylfaen" w:cstheme="minorHAnsi"/>
          <w:sz w:val="20"/>
          <w:lang w:val="ka-GE"/>
        </w:rPr>
        <w:t>გიორგი ბუჩუკური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2532EF" w:rsidRPr="004E4BBC">
          <w:rPr>
            <w:rStyle w:val="Hyperlink"/>
            <w:rFonts w:ascii="Sylfaen" w:hAnsi="Sylfaen" w:cstheme="minorHAnsi"/>
            <w:sz w:val="20"/>
            <w:lang w:val="ka-GE"/>
          </w:rPr>
          <w:t>g.buchukuri@evex.ge</w:t>
        </w:r>
      </w:hyperlink>
      <w:r w:rsidR="002532EF">
        <w:rPr>
          <w:rFonts w:ascii="Sylfaen" w:hAnsi="Sylfaen" w:cstheme="minorHAnsi"/>
          <w:sz w:val="20"/>
          <w:lang w:val="en-US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2532EF" w:rsidRPr="002532EF">
        <w:rPr>
          <w:rFonts w:ascii="Sylfaen" w:hAnsi="Sylfaen" w:cs="Sylfaen"/>
          <w:sz w:val="20"/>
          <w:lang w:val="ka-GE"/>
        </w:rPr>
        <w:t>599 294 728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36F53" w14:textId="77777777" w:rsidR="00306E0A" w:rsidRDefault="00306E0A">
      <w:r>
        <w:separator/>
      </w:r>
    </w:p>
  </w:endnote>
  <w:endnote w:type="continuationSeparator" w:id="0">
    <w:p w14:paraId="5E8F4BBF" w14:textId="77777777" w:rsidR="00306E0A" w:rsidRDefault="003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charset w:val="00"/>
    <w:family w:val="auto"/>
    <w:pitch w:val="variable"/>
    <w:sig w:usb0="04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57DA6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57DA6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9FE3" w14:textId="77777777" w:rsidR="00306E0A" w:rsidRDefault="00306E0A">
      <w:r>
        <w:separator/>
      </w:r>
    </w:p>
  </w:footnote>
  <w:footnote w:type="continuationSeparator" w:id="0">
    <w:p w14:paraId="5145EC62" w14:textId="77777777" w:rsidR="00306E0A" w:rsidRDefault="00306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457A94F3" w:rsidR="006B056D" w:rsidRPr="00911C22" w:rsidRDefault="00E04AF8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შპს</w:t>
          </w:r>
          <w:r w:rsidR="00403CCC">
            <w:rPr>
              <w:rFonts w:ascii="Sylfaen" w:hAnsi="Sylfaen" w:cs="Sylfaen"/>
              <w:sz w:val="20"/>
              <w:lang w:val="ka-GE"/>
            </w:rPr>
            <w:t xml:space="preserve"> ,,</w:t>
          </w:r>
          <w:r>
            <w:rPr>
              <w:rFonts w:ascii="Sylfaen" w:hAnsi="Sylfaen" w:cs="Sylfaen"/>
              <w:sz w:val="20"/>
              <w:lang w:val="ka-GE"/>
            </w:rPr>
            <w:t>რეგიონული ჰოსპიტალი</w:t>
          </w:r>
          <w:r w:rsidR="00403CCC"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7F02DC" w:rsidRPr="008D187E">
            <w:rPr>
              <w:rFonts w:ascii="Sylfaen" w:hAnsi="Sylfaen" w:cs="Sylfaen"/>
              <w:sz w:val="20"/>
              <w:lang w:val="ka-GE"/>
            </w:rPr>
            <w:t>სარეკონსტრუქციო 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32EF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06E0A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27E3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C4AD7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3407"/>
    <w:rsid w:val="006D4409"/>
    <w:rsid w:val="006E05B3"/>
    <w:rsid w:val="0070040D"/>
    <w:rsid w:val="00714AC3"/>
    <w:rsid w:val="00716872"/>
    <w:rsid w:val="00721108"/>
    <w:rsid w:val="00734E5A"/>
    <w:rsid w:val="0075353F"/>
    <w:rsid w:val="00757DA6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49F1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E1083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4AF8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36D49"/>
    <w:rsid w:val="00F406F1"/>
    <w:rsid w:val="00F41D13"/>
    <w:rsid w:val="00F42729"/>
    <w:rsid w:val="00F44B95"/>
    <w:rsid w:val="00F5082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yperlink" Target="mailto:g.buchukuri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2A49-1BBE-FB4D-9209-DDE170F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1527</Words>
  <Characters>8710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7</cp:revision>
  <cp:lastPrinted>2018-06-11T07:22:00Z</cp:lastPrinted>
  <dcterms:created xsi:type="dcterms:W3CDTF">2019-06-04T13:13:00Z</dcterms:created>
  <dcterms:modified xsi:type="dcterms:W3CDTF">2019-06-06T13:37:00Z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